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TBL-1400F型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高温炉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操作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步骤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</w:p>
    <w:p>
      <w:pPr>
        <w:ind w:firstLine="560"/>
        <w:jc w:val="left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对于正常使用条件下，按下列步骤操作。否则，必须先按照《TBL-1400F高温炉使用规章制度》的规定执行，待工作正常后，方可使用。</w:t>
      </w:r>
    </w:p>
    <w:p>
      <w:pPr>
        <w:ind w:firstLine="560"/>
        <w:jc w:val="left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1  打开炉膛门，检查内部是否清洁并清理干净；轻拿轻放内部隔热保温板，然后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再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轻放试件，但不得触碰热电偶传感器和四周炉壁，且试件间应预留一定量的间隙。</w:t>
      </w:r>
    </w:p>
    <w:p>
      <w:pPr>
        <w:pStyle w:val="4"/>
        <w:numPr>
          <w:ilvl w:val="0"/>
          <w:numId w:val="0"/>
        </w:numPr>
        <w:ind w:leftChars="0" w:firstLine="56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2 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打开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墙上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总电源开关（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平时为上锁状态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3 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打开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高温炉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箱体上的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控制电源开关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3  当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分别设定加热温度、恒温时间后，按下</w:t>
      </w:r>
      <w:r>
        <w:rPr>
          <w:rFonts w:hint="default" w:ascii="Times New Roman" w:hAnsi="Times New Roman" w:cs="Times New Roman" w:eastAsiaTheme="majorEastAsia"/>
          <w:b/>
          <w:bCs/>
          <w:sz w:val="28"/>
          <w:szCs w:val="28"/>
          <w:u w:val="single"/>
          <w:lang w:eastAsia="zh-CN"/>
        </w:rPr>
        <w:t>主加热运行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键；再长按（约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3s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 w:eastAsiaTheme="majorEastAsia"/>
          <w:b/>
          <w:bCs/>
          <w:sz w:val="28"/>
          <w:szCs w:val="28"/>
          <w:u w:val="single"/>
          <w:lang w:val="en-US" w:eastAsia="zh-CN"/>
        </w:rPr>
        <w:t>RUN/RST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键。当指示灯亮时，说明机器已开始加热。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4  当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加热结束后，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再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长按（约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3s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 w:eastAsiaTheme="majorEastAsia"/>
          <w:b/>
          <w:bCs/>
          <w:sz w:val="28"/>
          <w:szCs w:val="28"/>
          <w:u w:val="single"/>
          <w:lang w:val="en-US" w:eastAsia="zh-CN"/>
        </w:rPr>
        <w:t>RUN/RST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键。当指示灯灭后，再按</w:t>
      </w:r>
      <w:r>
        <w:rPr>
          <w:rFonts w:hint="default" w:ascii="Times New Roman" w:hAnsi="Times New Roman" w:cs="Times New Roman" w:eastAsiaTheme="majorEastAsia"/>
          <w:b/>
          <w:bCs/>
          <w:sz w:val="28"/>
          <w:szCs w:val="28"/>
          <w:u w:val="single"/>
          <w:lang w:val="en-US" w:eastAsia="zh-CN"/>
        </w:rPr>
        <w:t>主加热停止</w:t>
      </w:r>
      <w:r>
        <w:rPr>
          <w:rFonts w:hint="default" w:ascii="Times New Roman" w:hAnsi="Times New Roman" w:cs="Times New Roman" w:eastAsiaTheme="majorEastAsia"/>
          <w:sz w:val="28"/>
          <w:szCs w:val="28"/>
          <w:u w:val="single"/>
          <w:lang w:val="en-US" w:eastAsia="zh-CN"/>
        </w:rPr>
        <w:t>键。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5  关闭高温箱体上的炉控制电源开关。</w:t>
      </w:r>
    </w:p>
    <w:p>
      <w:pPr>
        <w:pStyle w:val="4"/>
        <w:numPr>
          <w:ilvl w:val="0"/>
          <w:numId w:val="0"/>
        </w:numPr>
        <w:ind w:leftChars="0" w:firstLine="56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6  关闭墙上的总电源开关并上锁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。</w:t>
      </w:r>
    </w:p>
    <w:p>
      <w:pPr>
        <w:pStyle w:val="4"/>
        <w:numPr>
          <w:ilvl w:val="0"/>
          <w:numId w:val="0"/>
        </w:numPr>
        <w:ind w:leftChars="0" w:firstLine="56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7  待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冷却至室温后，小心取出试件；然后清理炉膛，保持清洁，再放置好内部隔热保温板，关上炉膛门并上锁。 </w:t>
      </w:r>
    </w:p>
    <w:p>
      <w:pPr>
        <w:pStyle w:val="4"/>
        <w:numPr>
          <w:ilvl w:val="0"/>
          <w:numId w:val="0"/>
        </w:numPr>
        <w:ind w:leftChars="0" w:firstLine="56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设</w:t>
      </w:r>
      <w:bookmarkStart w:id="0" w:name="_GoBack"/>
      <w:bookmarkEnd w:id="0"/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备故障维修联系人：陈工182 0392 3973</w:t>
      </w:r>
    </w:p>
    <w:p>
      <w:pPr>
        <w:pStyle w:val="4"/>
        <w:numPr>
          <w:ilvl w:val="0"/>
          <w:numId w:val="0"/>
        </w:numPr>
        <w:ind w:leftChars="0" w:firstLine="560"/>
        <w:jc w:val="righ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生态建筑与环境构建河南省工程实验室</w:t>
      </w:r>
    </w:p>
    <w:p>
      <w:pPr>
        <w:pStyle w:val="4"/>
        <w:numPr>
          <w:ilvl w:val="0"/>
          <w:numId w:val="0"/>
        </w:numPr>
        <w:ind w:leftChars="0" w:firstLine="560"/>
        <w:jc w:val="righ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2017年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月 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25日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DY2+ZCPCHn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5+ZCPCIV-6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Y99+ZLFGbb-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LFGa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LFGa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98150886+ZBfC8S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TBi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680987047+ZHcJfb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E-BZ + ZCZBZu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E-BZ + ZIRFea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 + ZLZDWL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IOLCC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MS Mincho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DY94 + ZLFGbZ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88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91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GACL N+ Adv Gulliv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dvGulliv-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Gulliv-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MP10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439AA"/>
    <w:rsid w:val="0DD86352"/>
    <w:rsid w:val="0E3B6701"/>
    <w:rsid w:val="1CC439AA"/>
    <w:rsid w:val="234C23E9"/>
    <w:rsid w:val="2BA4331B"/>
    <w:rsid w:val="2D0343A7"/>
    <w:rsid w:val="3C720D00"/>
    <w:rsid w:val="3ED7044E"/>
    <w:rsid w:val="43533999"/>
    <w:rsid w:val="46B76A64"/>
    <w:rsid w:val="4C1E3C58"/>
    <w:rsid w:val="51ED4DFE"/>
    <w:rsid w:val="5B8A60DB"/>
    <w:rsid w:val="737D3D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2016-12-24T08:34:00Z</dcterms:created>
  <dc:creator>Administrator</dc:creator>
  <cp:lastModifiedBy>zz</cp:lastModifiedBy>
  <dcterms:modified xsi:type="dcterms:W3CDTF">2017-04-25T08:32:27Z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